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08A5A">
      <w:pPr>
        <w:pStyle w:val="5"/>
        <w:keepNext w:val="0"/>
        <w:keepLines w:val="0"/>
        <w:pageBreakBefore w:val="0"/>
        <w:widowControl w:val="0"/>
        <w:kinsoku/>
        <w:wordWrap w:val="0"/>
        <w:overflowPunct/>
        <w:topLinePunct w:val="0"/>
        <w:autoSpaceDE w:val="0"/>
        <w:autoSpaceDN w:val="0"/>
        <w:bidi w:val="0"/>
        <w:adjustRightInd w:val="0"/>
        <w:snapToGrid w:val="0"/>
        <w:spacing w:line="640" w:lineRule="exact"/>
        <w:textAlignment w:val="baseline"/>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lang w:eastAsia="zh-CN"/>
        </w:rPr>
        <w:t>济南市</w:t>
      </w:r>
      <w:r>
        <w:rPr>
          <w:rFonts w:hint="eastAsia" w:ascii="方正小标宋简体" w:hAnsi="方正小标宋简体" w:eastAsia="方正小标宋简体" w:cs="方正小标宋简体"/>
        </w:rPr>
        <w:t>202</w:t>
      </w:r>
      <w:r>
        <w:rPr>
          <w:rFonts w:hint="eastAsia" w:ascii="方正小标宋简体" w:hAnsi="方正小标宋简体" w:eastAsia="方正小标宋简体" w:cs="方正小标宋简体"/>
          <w:lang w:val="en-US" w:eastAsia="zh-CN"/>
        </w:rPr>
        <w:t>5</w:t>
      </w:r>
      <w:r>
        <w:rPr>
          <w:rFonts w:hint="eastAsia" w:ascii="方正小标宋简体" w:hAnsi="方正小标宋简体" w:eastAsia="方正小标宋简体" w:cs="方正小标宋简体"/>
        </w:rPr>
        <w:t>年普通高</w:t>
      </w:r>
      <w:r>
        <w:rPr>
          <w:rFonts w:hint="eastAsia" w:ascii="方正小标宋简体" w:hAnsi="方正小标宋简体" w:eastAsia="方正小标宋简体" w:cs="方正小标宋简体"/>
          <w:lang w:eastAsia="zh-CN"/>
        </w:rPr>
        <w:t>中学校艺体特长生招生</w:t>
      </w:r>
    </w:p>
    <w:p w14:paraId="135DE0A3">
      <w:pPr>
        <w:pStyle w:val="5"/>
        <w:keepNext w:val="0"/>
        <w:keepLines w:val="0"/>
        <w:pageBreakBefore w:val="0"/>
        <w:widowControl w:val="0"/>
        <w:kinsoku/>
        <w:wordWrap w:val="0"/>
        <w:overflowPunct/>
        <w:topLinePunct w:val="0"/>
        <w:autoSpaceDE w:val="0"/>
        <w:autoSpaceDN w:val="0"/>
        <w:bidi w:val="0"/>
        <w:adjustRightInd w:val="0"/>
        <w:snapToGrid w:val="0"/>
        <w:spacing w:line="640" w:lineRule="exact"/>
        <w:textAlignment w:val="baseline"/>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lang w:eastAsia="zh-CN"/>
        </w:rPr>
        <w:t>体育类田径专业</w:t>
      </w:r>
      <w:r>
        <w:rPr>
          <w:rFonts w:hint="eastAsia" w:ascii="方正小标宋简体" w:hAnsi="方正小标宋简体" w:eastAsia="方正小标宋简体" w:cs="方正小标宋简体"/>
        </w:rPr>
        <w:t>统一</w:t>
      </w:r>
      <w:r>
        <w:rPr>
          <w:rFonts w:hint="eastAsia" w:ascii="方正小标宋简体" w:hAnsi="方正小标宋简体" w:eastAsia="方正小标宋简体" w:cs="方正小标宋简体"/>
          <w:lang w:eastAsia="zh-CN"/>
        </w:rPr>
        <w:t>测试</w:t>
      </w:r>
      <w:r>
        <w:rPr>
          <w:rFonts w:hint="eastAsia" w:ascii="方正小标宋简体" w:hAnsi="方正小标宋简体" w:eastAsia="方正小标宋简体" w:cs="方正小标宋简体"/>
        </w:rPr>
        <w:t>说明</w:t>
      </w:r>
    </w:p>
    <w:p w14:paraId="6C1B1E8F">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根据</w:t>
      </w:r>
      <w:r>
        <w:rPr>
          <w:rFonts w:hint="eastAsia" w:ascii="仿宋_GB2312" w:hAnsi="仿宋_GB2312" w:eastAsia="仿宋_GB2312" w:cs="仿宋_GB2312"/>
          <w:spacing w:val="15"/>
          <w:sz w:val="32"/>
          <w:szCs w:val="32"/>
          <w:lang w:eastAsia="zh-CN"/>
        </w:rPr>
        <w:t>《</w:t>
      </w:r>
      <w:r>
        <w:rPr>
          <w:rFonts w:hint="eastAsia" w:ascii="仿宋_GB2312" w:hAnsi="仿宋_GB2312" w:eastAsia="仿宋_GB2312" w:cs="仿宋_GB2312"/>
          <w:spacing w:val="15"/>
          <w:sz w:val="32"/>
          <w:szCs w:val="32"/>
        </w:rPr>
        <w:t>济南市2025年普通高中学校招收艺体特长生工作方案</w:t>
      </w:r>
      <w:r>
        <w:rPr>
          <w:rFonts w:hint="eastAsia" w:ascii="仿宋_GB2312" w:hAnsi="仿宋_GB2312" w:eastAsia="仿宋_GB2312" w:cs="仿宋_GB2312"/>
          <w:spacing w:val="15"/>
          <w:sz w:val="32"/>
          <w:szCs w:val="32"/>
          <w:lang w:eastAsia="zh-CN"/>
        </w:rPr>
        <w:t>》要求</w:t>
      </w:r>
      <w:r>
        <w:rPr>
          <w:rFonts w:hint="eastAsia" w:ascii="仿宋_GB2312" w:hAnsi="仿宋_GB2312" w:eastAsia="仿宋_GB2312" w:cs="仿宋_GB2312"/>
          <w:spacing w:val="7"/>
          <w:sz w:val="32"/>
          <w:szCs w:val="32"/>
        </w:rPr>
        <w:t>，结合我</w:t>
      </w:r>
      <w:r>
        <w:rPr>
          <w:rFonts w:hint="eastAsia" w:ascii="仿宋_GB2312" w:hAnsi="仿宋_GB2312" w:eastAsia="仿宋_GB2312" w:cs="仿宋_GB2312"/>
          <w:spacing w:val="7"/>
          <w:sz w:val="32"/>
          <w:szCs w:val="32"/>
          <w:lang w:eastAsia="zh-CN"/>
        </w:rPr>
        <w:t>市</w:t>
      </w:r>
      <w:r>
        <w:rPr>
          <w:rFonts w:hint="eastAsia" w:ascii="仿宋_GB2312" w:hAnsi="仿宋_GB2312" w:eastAsia="仿宋_GB2312" w:cs="仿宋_GB2312"/>
          <w:spacing w:val="7"/>
          <w:sz w:val="32"/>
          <w:szCs w:val="32"/>
        </w:rPr>
        <w:t>实际，制定</w:t>
      </w:r>
      <w:r>
        <w:rPr>
          <w:rFonts w:hint="eastAsia" w:ascii="仿宋_GB2312" w:hAnsi="仿宋_GB2312" w:eastAsia="仿宋_GB2312" w:cs="仿宋_GB2312"/>
          <w:spacing w:val="7"/>
          <w:sz w:val="32"/>
          <w:szCs w:val="32"/>
          <w:lang w:eastAsia="zh-CN"/>
        </w:rPr>
        <w:t>济南市</w:t>
      </w:r>
      <w:r>
        <w:rPr>
          <w:rFonts w:hint="eastAsia" w:ascii="仿宋_GB2312" w:hAnsi="仿宋_GB2312" w:eastAsia="仿宋_GB2312" w:cs="仿宋_GB2312"/>
          <w:spacing w:val="7"/>
          <w:sz w:val="32"/>
          <w:szCs w:val="32"/>
        </w:rPr>
        <w:t>202</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rPr>
        <w:t>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9"/>
          <w:sz w:val="32"/>
          <w:szCs w:val="32"/>
        </w:rPr>
        <w:t>说明。</w:t>
      </w:r>
    </w:p>
    <w:p w14:paraId="4BA2492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r>
        <w:rPr>
          <w:rFonts w:ascii="黑体" w:hAnsi="黑体" w:eastAsia="黑体" w:cs="黑体"/>
          <w:b w:val="0"/>
          <w:bCs w:val="0"/>
          <w:spacing w:val="4"/>
          <w:sz w:val="32"/>
          <w:szCs w:val="32"/>
        </w:rPr>
        <w:t>一、</w:t>
      </w:r>
      <w:r>
        <w:rPr>
          <w:rFonts w:hint="eastAsia" w:ascii="黑体" w:hAnsi="黑体" w:eastAsia="黑体" w:cs="黑体"/>
          <w:b w:val="0"/>
          <w:bCs w:val="0"/>
          <w:spacing w:val="4"/>
          <w:sz w:val="32"/>
          <w:szCs w:val="32"/>
          <w:lang w:eastAsia="zh-CN"/>
        </w:rPr>
        <w:t>测试</w:t>
      </w:r>
      <w:r>
        <w:rPr>
          <w:rFonts w:ascii="黑体" w:hAnsi="黑体" w:eastAsia="黑体" w:cs="黑体"/>
          <w:b w:val="0"/>
          <w:bCs w:val="0"/>
          <w:spacing w:val="4"/>
          <w:sz w:val="32"/>
          <w:szCs w:val="32"/>
        </w:rPr>
        <w:t>性质及目的</w:t>
      </w:r>
    </w:p>
    <w:p w14:paraId="6BB8DDB2">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根据</w:t>
      </w:r>
      <w:r>
        <w:rPr>
          <w:rFonts w:hint="eastAsia" w:ascii="仿宋_GB2312" w:hAnsi="仿宋_GB2312" w:eastAsia="仿宋_GB2312" w:cs="仿宋_GB2312"/>
          <w:spacing w:val="15"/>
          <w:sz w:val="32"/>
          <w:szCs w:val="32"/>
          <w:lang w:eastAsia="zh-CN"/>
        </w:rPr>
        <w:t>济南市</w:t>
      </w:r>
      <w:r>
        <w:rPr>
          <w:rFonts w:hint="eastAsia" w:ascii="仿宋_GB2312" w:hAnsi="仿宋_GB2312" w:eastAsia="仿宋_GB2312" w:cs="仿宋_GB2312"/>
          <w:spacing w:val="15"/>
          <w:sz w:val="32"/>
          <w:szCs w:val="32"/>
        </w:rPr>
        <w:t>2025年高中阶段学校招生工作总体要求</w:t>
      </w:r>
      <w:r>
        <w:rPr>
          <w:rFonts w:hint="eastAsia" w:ascii="仿宋_GB2312" w:hAnsi="仿宋_GB2312" w:eastAsia="仿宋_GB2312" w:cs="仿宋_GB2312"/>
          <w:spacing w:val="15"/>
          <w:sz w:val="32"/>
          <w:szCs w:val="32"/>
          <w:lang w:eastAsia="zh-CN"/>
        </w:rPr>
        <w:t>，组织我市2025年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spacing w:val="15"/>
          <w:sz w:val="32"/>
          <w:szCs w:val="32"/>
        </w:rPr>
        <w:t>统一</w:t>
      </w:r>
      <w:r>
        <w:rPr>
          <w:rFonts w:hint="eastAsia" w:ascii="仿宋_GB2312" w:hAnsi="仿宋_GB2312" w:eastAsia="仿宋_GB2312" w:cs="仿宋_GB2312"/>
          <w:spacing w:val="15"/>
          <w:sz w:val="32"/>
          <w:szCs w:val="32"/>
          <w:lang w:eastAsia="zh-CN"/>
        </w:rPr>
        <w:t>测试</w:t>
      </w:r>
      <w:r>
        <w:rPr>
          <w:rFonts w:hint="eastAsia" w:ascii="仿宋_GB2312" w:hAnsi="仿宋_GB2312" w:eastAsia="仿宋_GB2312" w:cs="仿宋_GB2312"/>
          <w:spacing w:val="15"/>
          <w:sz w:val="32"/>
          <w:szCs w:val="32"/>
        </w:rPr>
        <w:t>着重考查考生是否达到</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spacing w:val="15"/>
          <w:sz w:val="32"/>
          <w:szCs w:val="32"/>
        </w:rPr>
        <w:t>专业</w:t>
      </w:r>
      <w:r>
        <w:rPr>
          <w:rFonts w:hint="eastAsia" w:ascii="仿宋_GB2312" w:hAnsi="仿宋_GB2312" w:eastAsia="仿宋_GB2312" w:cs="仿宋_GB2312"/>
          <w:spacing w:val="15"/>
          <w:sz w:val="32"/>
          <w:szCs w:val="32"/>
          <w:lang w:eastAsia="zh-CN"/>
        </w:rPr>
        <w:t>的基本素养，</w:t>
      </w:r>
      <w:r>
        <w:rPr>
          <w:rFonts w:hint="eastAsia" w:ascii="仿宋_GB2312" w:hAnsi="仿宋_GB2312" w:eastAsia="仿宋_GB2312" w:cs="仿宋_GB2312"/>
          <w:spacing w:val="15"/>
          <w:sz w:val="32"/>
          <w:szCs w:val="32"/>
        </w:rPr>
        <w:t>为</w:t>
      </w:r>
      <w:r>
        <w:rPr>
          <w:rFonts w:hint="eastAsia" w:ascii="仿宋_GB2312" w:hAnsi="仿宋_GB2312" w:eastAsia="仿宋_GB2312" w:cs="仿宋_GB2312"/>
          <w:spacing w:val="15"/>
          <w:sz w:val="32"/>
          <w:szCs w:val="32"/>
          <w:lang w:eastAsia="zh-CN"/>
        </w:rPr>
        <w:t>普通</w:t>
      </w:r>
      <w:r>
        <w:rPr>
          <w:rFonts w:hint="eastAsia" w:ascii="仿宋_GB2312" w:hAnsi="仿宋_GB2312" w:eastAsia="仿宋_GB2312" w:cs="仿宋_GB2312"/>
          <w:spacing w:val="15"/>
          <w:sz w:val="32"/>
          <w:szCs w:val="32"/>
        </w:rPr>
        <w:t>高</w:t>
      </w:r>
      <w:r>
        <w:rPr>
          <w:rFonts w:hint="eastAsia" w:ascii="仿宋_GB2312" w:hAnsi="仿宋_GB2312" w:eastAsia="仿宋_GB2312" w:cs="仿宋_GB2312"/>
          <w:spacing w:val="15"/>
          <w:sz w:val="32"/>
          <w:szCs w:val="32"/>
          <w:lang w:eastAsia="zh-CN"/>
        </w:rPr>
        <w:t>中田径</w:t>
      </w:r>
      <w:r>
        <w:rPr>
          <w:rFonts w:hint="eastAsia" w:ascii="仿宋_GB2312" w:hAnsi="仿宋_GB2312" w:eastAsia="仿宋_GB2312" w:cs="仿宋_GB2312"/>
          <w:spacing w:val="15"/>
          <w:sz w:val="32"/>
          <w:szCs w:val="32"/>
        </w:rPr>
        <w:t>专业招生录取提供重要依据。</w:t>
      </w:r>
    </w:p>
    <w:p w14:paraId="0684EFEC">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r>
        <w:rPr>
          <w:rFonts w:ascii="黑体" w:hAnsi="黑体" w:eastAsia="黑体" w:cs="黑体"/>
          <w:b w:val="0"/>
          <w:bCs w:val="0"/>
          <w:spacing w:val="4"/>
          <w:sz w:val="32"/>
          <w:szCs w:val="32"/>
        </w:rPr>
        <w:t>二、</w:t>
      </w:r>
      <w:r>
        <w:rPr>
          <w:rFonts w:hint="eastAsia" w:ascii="黑体" w:hAnsi="黑体" w:eastAsia="黑体" w:cs="黑体"/>
          <w:b w:val="0"/>
          <w:bCs w:val="0"/>
          <w:spacing w:val="4"/>
          <w:sz w:val="32"/>
          <w:szCs w:val="32"/>
          <w:lang w:eastAsia="zh-CN"/>
        </w:rPr>
        <w:t>测试</w:t>
      </w:r>
      <w:r>
        <w:rPr>
          <w:rFonts w:ascii="黑体" w:hAnsi="黑体" w:eastAsia="黑体" w:cs="黑体"/>
          <w:b w:val="0"/>
          <w:bCs w:val="0"/>
          <w:spacing w:val="4"/>
          <w:sz w:val="32"/>
          <w:szCs w:val="32"/>
        </w:rPr>
        <w:t>科目</w:t>
      </w:r>
    </w:p>
    <w:p w14:paraId="3D71B5A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田径</w:t>
      </w:r>
      <w:r>
        <w:rPr>
          <w:rFonts w:hint="eastAsia" w:ascii="仿宋_GB2312" w:hAnsi="仿宋_GB2312" w:eastAsia="仿宋_GB2312" w:cs="仿宋_GB2312"/>
          <w:color w:val="auto"/>
          <w:sz w:val="32"/>
          <w:szCs w:val="32"/>
          <w:lang w:eastAsia="zh-CN"/>
        </w:rPr>
        <w:t>专业</w:t>
      </w:r>
      <w:r>
        <w:rPr>
          <w:rFonts w:hint="eastAsia" w:ascii="仿宋_GB2312" w:hAnsi="仿宋_GB2312" w:eastAsia="仿宋_GB2312" w:cs="仿宋_GB2312"/>
          <w:color w:val="auto"/>
          <w:sz w:val="32"/>
          <w:szCs w:val="32"/>
        </w:rPr>
        <w:t>统一</w:t>
      </w:r>
      <w:r>
        <w:rPr>
          <w:rFonts w:hint="eastAsia" w:ascii="仿宋_GB2312" w:hAnsi="仿宋_GB2312" w:eastAsia="仿宋_GB2312" w:cs="仿宋_GB2312"/>
          <w:color w:val="auto"/>
          <w:sz w:val="32"/>
          <w:szCs w:val="32"/>
          <w:lang w:eastAsia="zh-CN"/>
        </w:rPr>
        <w:t>测试设有</w:t>
      </w:r>
      <w:r>
        <w:rPr>
          <w:rFonts w:hint="eastAsia" w:ascii="仿宋_GB2312" w:hAnsi="仿宋_GB2312" w:eastAsia="仿宋_GB2312" w:cs="仿宋_GB2312"/>
          <w:color w:val="auto"/>
          <w:sz w:val="32"/>
          <w:szCs w:val="32"/>
        </w:rPr>
        <w:t>专项测试</w:t>
      </w:r>
      <w:r>
        <w:rPr>
          <w:rFonts w:hint="eastAsia" w:ascii="仿宋_GB2312" w:hAnsi="仿宋_GB2312" w:eastAsia="仿宋_GB2312" w:cs="仿宋_GB2312"/>
          <w:color w:val="auto"/>
          <w:sz w:val="32"/>
          <w:szCs w:val="32"/>
          <w:lang w:eastAsia="zh-CN"/>
        </w:rPr>
        <w:t>科目、</w:t>
      </w:r>
      <w:r>
        <w:rPr>
          <w:rFonts w:hint="eastAsia" w:ascii="仿宋_GB2312" w:hAnsi="仿宋_GB2312" w:eastAsia="仿宋_GB2312" w:cs="仿宋_GB2312"/>
          <w:color w:val="auto"/>
          <w:sz w:val="32"/>
          <w:szCs w:val="32"/>
        </w:rPr>
        <w:t>基本素质测试</w:t>
      </w:r>
      <w:r>
        <w:rPr>
          <w:rFonts w:hint="eastAsia" w:ascii="仿宋_GB2312" w:hAnsi="仿宋_GB2312" w:eastAsia="仿宋_GB2312" w:cs="仿宋_GB2312"/>
          <w:color w:val="auto"/>
          <w:sz w:val="32"/>
          <w:szCs w:val="32"/>
          <w:lang w:eastAsia="zh-CN"/>
        </w:rPr>
        <w:t>科目。各招生</w:t>
      </w:r>
      <w:r>
        <w:rPr>
          <w:rFonts w:hint="eastAsia" w:ascii="仿宋_GB2312" w:hAnsi="仿宋_GB2312" w:eastAsia="仿宋_GB2312" w:cs="仿宋_GB2312"/>
          <w:spacing w:val="15"/>
          <w:sz w:val="32"/>
          <w:szCs w:val="32"/>
        </w:rPr>
        <w:t>学校根据人才培养需求，</w:t>
      </w:r>
      <w:r>
        <w:rPr>
          <w:rFonts w:hint="eastAsia" w:ascii="仿宋_GB2312" w:hAnsi="仿宋_GB2312" w:eastAsia="仿宋_GB2312" w:cs="仿宋_GB2312"/>
          <w:spacing w:val="15"/>
          <w:sz w:val="32"/>
          <w:szCs w:val="32"/>
          <w:lang w:eastAsia="zh-CN"/>
        </w:rPr>
        <w:t>自主选择测试的科目。</w:t>
      </w:r>
    </w:p>
    <w:p w14:paraId="79CA7169">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专项测试科目设100米、200米、400米、800米、1500米、男子110米栏、女子100米栏、400米栏、跳高、跳远、三级跳远、铅球、标枪、铁饼等项目。考生需测试报考学校规定的一个专项；报考两个志愿学校不同专项的，两个专项分别进行测试；报考不同志愿学校同一专项的，仅对该专项测试1次，不重复测试。</w:t>
      </w:r>
    </w:p>
    <w:p w14:paraId="2FBDBB08">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基本素质测试科目设100米跑、立定跳远、原地推铅球3个项目，考生需测试报考学校规定的基本素质测试项目。</w:t>
      </w:r>
    </w:p>
    <w:p w14:paraId="5206258D">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三、测试时间</w:t>
      </w:r>
    </w:p>
    <w:p w14:paraId="6A326BA4">
      <w:pPr>
        <w:keepNext w:val="0"/>
        <w:keepLines w:val="0"/>
        <w:pageBreakBefore w:val="0"/>
        <w:widowControl w:val="0"/>
        <w:kinsoku/>
        <w:wordWrap w:val="0"/>
        <w:overflowPunct/>
        <w:topLinePunct w:val="0"/>
        <w:bidi w:val="0"/>
        <w:spacing w:line="560" w:lineRule="exact"/>
        <w:ind w:left="0" w:right="0" w:firstLine="700" w:firstLineChars="200"/>
        <w:jc w:val="both"/>
        <w:rPr>
          <w:rFonts w:hint="default" w:ascii="黑体" w:hAnsi="黑体" w:eastAsia="黑体" w:cs="黑体"/>
          <w:b w:val="0"/>
          <w:bCs w:val="0"/>
          <w:spacing w:val="4"/>
          <w:sz w:val="32"/>
          <w:szCs w:val="32"/>
          <w:lang w:val="en-US" w:eastAsia="zh-CN"/>
        </w:rPr>
      </w:pPr>
      <w:r>
        <w:rPr>
          <w:rFonts w:hint="eastAsia" w:ascii="仿宋_GB2312" w:hAnsi="仿宋_GB2312" w:eastAsia="仿宋_GB2312" w:cs="仿宋_GB2312"/>
          <w:spacing w:val="15"/>
          <w:sz w:val="32"/>
          <w:szCs w:val="32"/>
          <w:lang w:eastAsia="zh-CN"/>
        </w:rPr>
        <w:t>2025年</w:t>
      </w:r>
      <w:r>
        <w:rPr>
          <w:rFonts w:hint="eastAsia" w:ascii="仿宋_GB2312" w:hAnsi="仿宋_GB2312" w:eastAsia="仿宋_GB2312" w:cs="仿宋_GB2312"/>
          <w:b w:val="0"/>
          <w:bCs w:val="0"/>
          <w:sz w:val="32"/>
          <w:szCs w:val="32"/>
          <w:lang w:val="en-US" w:eastAsia="zh-CN"/>
        </w:rPr>
        <w:t>普通高中艺体特长生招生体育类田径专业统一测试</w:t>
      </w:r>
      <w:r>
        <w:rPr>
          <w:rFonts w:hint="eastAsia" w:ascii="仿宋_GB2312" w:hAnsi="仿宋_GB2312" w:eastAsia="仿宋_GB2312" w:cs="仿宋_GB2312"/>
          <w:spacing w:val="15"/>
          <w:sz w:val="32"/>
          <w:szCs w:val="32"/>
          <w:lang w:eastAsia="zh-CN"/>
        </w:rPr>
        <w:t>时间为</w:t>
      </w:r>
      <w:r>
        <w:rPr>
          <w:rFonts w:hint="eastAsia" w:ascii="仿宋_GB2312" w:hAnsi="仿宋_GB2312" w:eastAsia="仿宋_GB2312" w:cs="仿宋_GB2312"/>
          <w:spacing w:val="15"/>
          <w:sz w:val="32"/>
          <w:szCs w:val="32"/>
          <w:lang w:val="en-US" w:eastAsia="zh-CN"/>
        </w:rPr>
        <w:t>6月21日，各项目测试时间以具体通知为准。</w:t>
      </w:r>
    </w:p>
    <w:p w14:paraId="5A2E8462">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四、测试标准与办法</w:t>
      </w:r>
    </w:p>
    <w:p w14:paraId="77C284A6">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700" w:firstLineChars="200"/>
        <w:jc w:val="left"/>
        <w:rPr>
          <w:rFonts w:hint="eastAsia"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val="en-US" w:eastAsia="zh-CN"/>
        </w:rPr>
        <w:t>体育类田径</w:t>
      </w:r>
      <w:r>
        <w:rPr>
          <w:rFonts w:hint="eastAsia" w:ascii="仿宋_GB2312" w:hAnsi="仿宋_GB2312" w:eastAsia="仿宋_GB2312" w:cs="仿宋_GB2312"/>
          <w:b w:val="0"/>
          <w:bCs w:val="0"/>
          <w:sz w:val="32"/>
          <w:szCs w:val="32"/>
          <w:lang w:val="en-US" w:eastAsia="zh-CN"/>
        </w:rPr>
        <w:t>专业</w:t>
      </w:r>
      <w:r>
        <w:rPr>
          <w:rFonts w:hint="eastAsia" w:ascii="仿宋_GB2312" w:hAnsi="仿宋_GB2312" w:eastAsia="仿宋_GB2312" w:cs="仿宋_GB2312"/>
          <w:spacing w:val="15"/>
          <w:sz w:val="32"/>
          <w:szCs w:val="32"/>
          <w:lang w:val="en-US" w:eastAsia="zh-CN"/>
        </w:rPr>
        <w:t>各项目测试使用电子设备进行计量。</w:t>
      </w:r>
    </w:p>
    <w:p w14:paraId="2A2867D9">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（一）田径专项技术测试标准与方法</w:t>
      </w:r>
    </w:p>
    <w:p w14:paraId="2F2CADE6">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napToGrid w:val="0"/>
          <w:color w:val="000000"/>
          <w:kern w:val="0"/>
          <w:sz w:val="32"/>
          <w:szCs w:val="32"/>
          <w:lang w:val="en-US" w:eastAsia="zh-CN" w:bidi="ar"/>
        </w:rPr>
        <w:t>1.跑类</w:t>
      </w:r>
    </w:p>
    <w:p w14:paraId="14189A1C">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男生：100米、200米、400米、800米、1500米、110米栏（栏高0.914米、栏间距8.7米）、400米栏（栏高0.838米、栏间距35米）。</w:t>
      </w:r>
    </w:p>
    <w:p w14:paraId="3FB27358">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女生：100米、200米、400米、800米、1500米、100米栏（栏高0.762米、栏间距8米）、400米栏（栏高0.762米、栏间距35米）。</w:t>
      </w:r>
    </w:p>
    <w:p w14:paraId="07D847C2">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2.跳类</w:t>
      </w:r>
    </w:p>
    <w:p w14:paraId="3B05254F">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男生：跳高、跳远、三级跳远。</w:t>
      </w:r>
    </w:p>
    <w:p w14:paraId="3EEFB5B5">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女生：跳高、跳远、三级跳远。</w:t>
      </w:r>
    </w:p>
    <w:p w14:paraId="3A9FDA52">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3.投类</w:t>
      </w:r>
    </w:p>
    <w:p w14:paraId="568C5BE6">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男生：铅球（5千克）、铁饼（1.5千克）、标枪（700克）。</w:t>
      </w:r>
    </w:p>
    <w:p w14:paraId="234406EC">
      <w:pPr>
        <w:keepNext w:val="0"/>
        <w:keepLines w:val="0"/>
        <w:pageBreakBefore w:val="0"/>
        <w:widowControl w:val="0"/>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napToGrid w:val="0"/>
          <w:color w:val="000000"/>
          <w:kern w:val="0"/>
          <w:sz w:val="32"/>
          <w:szCs w:val="32"/>
          <w:lang w:val="en-US" w:eastAsia="zh-CN" w:bidi="ar"/>
        </w:rPr>
        <w:t>女生：铅球（3千克）、铁饼（1千克）、标枪（500克）。</w:t>
      </w:r>
    </w:p>
    <w:p w14:paraId="25842591">
      <w:pPr>
        <w:keepNext w:val="0"/>
        <w:keepLines w:val="0"/>
        <w:pageBreakBefore w:val="0"/>
        <w:widowControl w:val="0"/>
        <w:suppressLineNumbers w:val="0"/>
        <w:kinsoku/>
        <w:wordWrap w:val="0"/>
        <w:overflowPunct/>
        <w:topLinePunct w:val="0"/>
        <w:bidi w:val="0"/>
        <w:spacing w:line="560" w:lineRule="exact"/>
        <w:ind w:left="0" w:right="0" w:firstLine="643" w:firstLineChars="200"/>
        <w:jc w:val="left"/>
        <w:rPr>
          <w:rFonts w:hint="eastAsia" w:ascii="仿宋_GB2312" w:hAnsi="仿宋_GB2312" w:eastAsia="仿宋_GB2312" w:cs="仿宋_GB2312"/>
          <w:b/>
          <w:bCs/>
          <w:snapToGrid w:val="0"/>
          <w:color w:val="000000"/>
          <w:kern w:val="0"/>
          <w:sz w:val="32"/>
          <w:szCs w:val="32"/>
          <w:lang w:val="en-US" w:eastAsia="zh-CN" w:bidi="ar"/>
        </w:rPr>
      </w:pPr>
      <w:r>
        <w:rPr>
          <w:rFonts w:hint="eastAsia" w:ascii="仿宋_GB2312" w:hAnsi="仿宋_GB2312" w:eastAsia="仿宋_GB2312" w:cs="仿宋_GB2312"/>
          <w:b/>
          <w:bCs/>
          <w:snapToGrid w:val="0"/>
          <w:color w:val="000000"/>
          <w:kern w:val="0"/>
          <w:sz w:val="32"/>
          <w:szCs w:val="32"/>
          <w:lang w:val="en-US" w:eastAsia="zh-CN" w:bidi="ar"/>
        </w:rPr>
        <w:t>4.测试方法</w:t>
      </w:r>
    </w:p>
    <w:p w14:paraId="737081A4">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default"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测试方法均按田径运动竞赛规则进行。</w:t>
      </w:r>
      <w:r>
        <w:rPr>
          <w:rFonts w:hint="eastAsia" w:ascii="仿宋_GB2312" w:hAnsi="仿宋_GB2312" w:eastAsia="仿宋_GB2312" w:cs="仿宋_GB2312"/>
          <w:spacing w:val="15"/>
          <w:sz w:val="32"/>
          <w:szCs w:val="32"/>
          <w:lang w:val="en-US" w:eastAsia="zh-CN"/>
        </w:rPr>
        <w:t>对径赛项目</w:t>
      </w:r>
      <w:r>
        <w:rPr>
          <w:rFonts w:hint="eastAsia" w:ascii="仿宋_GB2312" w:hAnsi="仿宋_GB2312" w:eastAsia="仿宋_GB2312" w:cs="仿宋_GB2312"/>
          <w:b w:val="0"/>
          <w:bCs w:val="0"/>
          <w:spacing w:val="1"/>
          <w:sz w:val="32"/>
          <w:szCs w:val="32"/>
        </w:rPr>
        <w:t>采用一次性比赛</w:t>
      </w:r>
      <w:r>
        <w:rPr>
          <w:rFonts w:hint="eastAsia" w:ascii="仿宋_GB2312" w:hAnsi="仿宋_GB2312" w:eastAsia="仿宋_GB2312" w:cs="仿宋_GB2312"/>
          <w:b w:val="0"/>
          <w:bCs w:val="0"/>
          <w:spacing w:val="1"/>
          <w:sz w:val="32"/>
          <w:szCs w:val="32"/>
          <w:lang w:eastAsia="zh-CN"/>
        </w:rPr>
        <w:t>；</w:t>
      </w:r>
      <w:r>
        <w:rPr>
          <w:rFonts w:hint="eastAsia" w:ascii="仿宋_GB2312" w:hAnsi="仿宋_GB2312" w:eastAsia="仿宋_GB2312" w:cs="仿宋_GB2312"/>
          <w:b w:val="0"/>
          <w:bCs w:val="0"/>
          <w:snapToGrid w:val="0"/>
          <w:color w:val="000000"/>
          <w:kern w:val="0"/>
          <w:sz w:val="32"/>
          <w:szCs w:val="32"/>
          <w:lang w:val="en-US" w:eastAsia="zh-CN" w:bidi="ar"/>
        </w:rPr>
        <w:t>田赛项目测试每人三次比赛机会，取最好成绩。径赛项目测试中，对每组第一次起跑犯规的考生应给予警告，之后同一组的一名或多名考生每次起跑犯规，均将被取消该单项的当场比赛资格。</w:t>
      </w:r>
    </w:p>
    <w:p w14:paraId="58357C31">
      <w:pPr>
        <w:keepNext w:val="0"/>
        <w:keepLines w:val="0"/>
        <w:pageBreakBefore w:val="0"/>
        <w:widowControl w:val="0"/>
        <w:kinsoku/>
        <w:wordWrap w:val="0"/>
        <w:overflowPunct/>
        <w:topLinePunct w:val="0"/>
        <w:bidi w:val="0"/>
        <w:spacing w:line="560" w:lineRule="exact"/>
        <w:ind w:left="0" w:right="0" w:firstLine="656" w:firstLineChars="200"/>
        <w:jc w:val="both"/>
        <w:rPr>
          <w:rFonts w:hint="eastAsia" w:ascii="楷体" w:hAnsi="楷体" w:eastAsia="楷体" w:cs="楷体"/>
          <w:b w:val="0"/>
          <w:bCs w:val="0"/>
          <w:spacing w:val="4"/>
          <w:sz w:val="32"/>
          <w:szCs w:val="32"/>
          <w:lang w:eastAsia="zh-CN"/>
        </w:rPr>
      </w:pPr>
      <w:r>
        <w:rPr>
          <w:rFonts w:hint="eastAsia" w:ascii="楷体" w:hAnsi="楷体" w:eastAsia="楷体" w:cs="楷体"/>
          <w:b w:val="0"/>
          <w:bCs w:val="0"/>
          <w:spacing w:val="4"/>
          <w:sz w:val="32"/>
          <w:szCs w:val="32"/>
          <w:lang w:eastAsia="zh-CN"/>
        </w:rPr>
        <w:t>（二）基本素质测试标准与办法</w:t>
      </w:r>
    </w:p>
    <w:p w14:paraId="00ABB0A2">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z w:val="32"/>
          <w:szCs w:val="32"/>
        </w:rPr>
      </w:pPr>
      <w:bookmarkStart w:id="0" w:name="bookmark1"/>
      <w:bookmarkEnd w:id="0"/>
      <w:r>
        <w:rPr>
          <w:rFonts w:hint="eastAsia" w:ascii="仿宋_GB2312" w:hAnsi="仿宋_GB2312" w:eastAsia="仿宋_GB2312" w:cs="仿宋_GB2312"/>
          <w:b/>
          <w:bCs/>
          <w:spacing w:val="-3"/>
          <w:sz w:val="32"/>
          <w:szCs w:val="32"/>
          <w:lang w:val="en-US" w:eastAsia="zh-CN"/>
        </w:rPr>
        <w:t>1.</w:t>
      </w:r>
      <w:r>
        <w:rPr>
          <w:rFonts w:hint="eastAsia" w:ascii="仿宋_GB2312" w:hAnsi="仿宋_GB2312" w:eastAsia="仿宋_GB2312" w:cs="仿宋_GB2312"/>
          <w:b/>
          <w:bCs/>
          <w:spacing w:val="-3"/>
          <w:sz w:val="32"/>
          <w:szCs w:val="32"/>
        </w:rPr>
        <w:t>100米跑</w:t>
      </w:r>
    </w:p>
    <w:p w14:paraId="50DEF2E0">
      <w:pPr>
        <w:keepNext w:val="0"/>
        <w:keepLines w:val="0"/>
        <w:pageBreakBefore w:val="0"/>
        <w:widowControl w:val="0"/>
        <w:kinsoku/>
        <w:wordWrap w:val="0"/>
        <w:overflowPunct/>
        <w:topLinePunct w:val="0"/>
        <w:bidi w:val="0"/>
        <w:spacing w:line="560" w:lineRule="exact"/>
        <w:ind w:left="0" w:right="0" w:firstLine="480"/>
        <w:jc w:val="both"/>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rPr>
        <w:t>测试细则：100米跑测试采用一次性比赛，</w:t>
      </w:r>
      <w:r>
        <w:rPr>
          <w:rFonts w:hint="eastAsia" w:ascii="仿宋_GB2312" w:hAnsi="仿宋_GB2312" w:eastAsia="仿宋_GB2312" w:cs="仿宋_GB2312"/>
          <w:b w:val="0"/>
          <w:bCs w:val="0"/>
          <w:spacing w:val="1"/>
          <w:sz w:val="32"/>
          <w:szCs w:val="32"/>
          <w:lang w:eastAsia="zh-CN"/>
        </w:rPr>
        <w:t>具体要求与专项测试一致</w:t>
      </w:r>
      <w:r>
        <w:rPr>
          <w:rFonts w:hint="eastAsia" w:ascii="仿宋_GB2312" w:hAnsi="仿宋_GB2312" w:eastAsia="仿宋_GB2312" w:cs="仿宋_GB2312"/>
          <w:b w:val="0"/>
          <w:bCs w:val="0"/>
          <w:spacing w:val="-5"/>
          <w:sz w:val="32"/>
          <w:szCs w:val="32"/>
        </w:rPr>
        <w:t>。</w:t>
      </w:r>
      <w:r>
        <w:rPr>
          <w:rFonts w:hint="eastAsia" w:ascii="仿宋_GB2312" w:hAnsi="仿宋_GB2312" w:eastAsia="仿宋_GB2312" w:cs="仿宋_GB2312"/>
          <w:b w:val="0"/>
          <w:bCs w:val="0"/>
          <w:sz w:val="32"/>
          <w:szCs w:val="32"/>
          <w:lang w:val="en-US" w:eastAsia="zh-CN"/>
        </w:rPr>
        <w:t>100米专项测试和基本素质100米测试合并进行。</w:t>
      </w:r>
    </w:p>
    <w:p w14:paraId="6AA19627">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2.立定跳远</w:t>
      </w:r>
    </w:p>
    <w:p w14:paraId="77010EBC">
      <w:pPr>
        <w:keepNext w:val="0"/>
        <w:keepLines w:val="0"/>
        <w:pageBreakBefore w:val="0"/>
        <w:widowControl w:val="0"/>
        <w:numPr>
          <w:ilvl w:val="0"/>
          <w:numId w:val="0"/>
        </w:numPr>
        <w:kinsoku/>
        <w:wordWrap w:val="0"/>
        <w:overflowPunct/>
        <w:topLinePunct w:val="0"/>
        <w:bidi w:val="0"/>
        <w:spacing w:line="560" w:lineRule="exact"/>
        <w:ind w:left="0" w:leftChars="0" w:right="0" w:rightChars="0" w:firstLine="628"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测试细则：</w:t>
      </w:r>
    </w:p>
    <w:p w14:paraId="73869866">
      <w:pPr>
        <w:keepNext w:val="0"/>
        <w:keepLines w:val="0"/>
        <w:pageBreakBefore w:val="0"/>
        <w:widowControl w:val="0"/>
        <w:kinsoku/>
        <w:wordWrap w:val="0"/>
        <w:overflowPunct/>
        <w:topLinePunct w:val="0"/>
        <w:bidi w:val="0"/>
        <w:spacing w:line="560" w:lineRule="exact"/>
        <w:ind w:left="0" w:right="0" w:firstLine="636"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①</w:t>
      </w:r>
      <w:r>
        <w:rPr>
          <w:rFonts w:hint="eastAsia" w:ascii="仿宋_GB2312" w:hAnsi="仿宋_GB2312" w:eastAsia="仿宋_GB2312" w:cs="仿宋_GB2312"/>
          <w:b w:val="0"/>
          <w:bCs w:val="0"/>
          <w:spacing w:val="-1"/>
          <w:sz w:val="32"/>
          <w:szCs w:val="32"/>
        </w:rPr>
        <w:t>场地设备：利用立定跳远测试仪进行，考生应在规定的标志线后起</w:t>
      </w:r>
      <w:r>
        <w:rPr>
          <w:rFonts w:hint="eastAsia" w:ascii="仿宋_GB2312" w:hAnsi="仿宋_GB2312" w:eastAsia="仿宋_GB2312" w:cs="仿宋_GB2312"/>
          <w:b w:val="0"/>
          <w:bCs w:val="0"/>
          <w:spacing w:val="-1"/>
          <w:sz w:val="32"/>
          <w:szCs w:val="32"/>
          <w:lang w:val="en-US" w:eastAsia="zh-CN"/>
        </w:rPr>
        <w:t>跳</w:t>
      </w:r>
      <w:r>
        <w:rPr>
          <w:rFonts w:hint="eastAsia" w:ascii="仿宋_GB2312" w:hAnsi="仿宋_GB2312" w:eastAsia="仿宋_GB2312" w:cs="仿宋_GB2312"/>
          <w:b w:val="0"/>
          <w:bCs w:val="0"/>
          <w:spacing w:val="-1"/>
          <w:sz w:val="32"/>
          <w:szCs w:val="32"/>
        </w:rPr>
        <w:t>。</w:t>
      </w:r>
    </w:p>
    <w:p w14:paraId="242A7067">
      <w:pPr>
        <w:keepNext w:val="0"/>
        <w:keepLines w:val="0"/>
        <w:pageBreakBefore w:val="0"/>
        <w:widowControl w:val="0"/>
        <w:kinsoku/>
        <w:wordWrap w:val="0"/>
        <w:overflowPunct/>
        <w:topLinePunct w:val="0"/>
        <w:bidi w:val="0"/>
        <w:spacing w:line="560" w:lineRule="exact"/>
        <w:ind w:left="0" w:right="0" w:firstLine="644"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1"/>
          <w:sz w:val="32"/>
          <w:szCs w:val="32"/>
          <w:lang w:eastAsia="zh-CN"/>
        </w:rPr>
        <w:t>②</w:t>
      </w:r>
      <w:r>
        <w:rPr>
          <w:rFonts w:hint="eastAsia" w:ascii="仿宋_GB2312" w:hAnsi="仿宋_GB2312" w:eastAsia="仿宋_GB2312" w:cs="仿宋_GB2312"/>
          <w:b w:val="0"/>
          <w:bCs w:val="0"/>
          <w:spacing w:val="1"/>
          <w:sz w:val="32"/>
          <w:szCs w:val="32"/>
        </w:rPr>
        <w:t>动作规定：双脚站在起跳线后起跳，身体任何部位不得触线，原地双脚起</w:t>
      </w:r>
      <w:r>
        <w:rPr>
          <w:rFonts w:hint="eastAsia" w:ascii="仿宋_GB2312" w:hAnsi="仿宋_GB2312" w:eastAsia="仿宋_GB2312" w:cs="仿宋_GB2312"/>
          <w:b w:val="0"/>
          <w:bCs w:val="0"/>
          <w:spacing w:val="-1"/>
          <w:sz w:val="32"/>
          <w:szCs w:val="32"/>
        </w:rPr>
        <w:t>跳双脚落地；动作完成后向前走出测试场地。测试时不准穿钉子鞋。</w:t>
      </w:r>
    </w:p>
    <w:p w14:paraId="3EDE45E5">
      <w:pPr>
        <w:keepNext w:val="0"/>
        <w:keepLines w:val="0"/>
        <w:pageBreakBefore w:val="0"/>
        <w:widowControl w:val="0"/>
        <w:kinsoku/>
        <w:wordWrap w:val="0"/>
        <w:overflowPunct/>
        <w:topLinePunct w:val="0"/>
        <w:bidi w:val="0"/>
        <w:spacing w:line="560" w:lineRule="exact"/>
        <w:ind w:left="0" w:right="0"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③</w:t>
      </w:r>
      <w:r>
        <w:rPr>
          <w:rFonts w:hint="eastAsia" w:ascii="仿宋_GB2312" w:hAnsi="仿宋_GB2312" w:eastAsia="仿宋_GB2312" w:cs="仿宋_GB2312"/>
          <w:b w:val="0"/>
          <w:bCs w:val="0"/>
          <w:sz w:val="32"/>
          <w:szCs w:val="32"/>
        </w:rPr>
        <w:t>测验方法：每人试跳</w:t>
      </w:r>
      <w:r>
        <w:rPr>
          <w:rFonts w:hint="eastAsia" w:ascii="仿宋_GB2312" w:hAnsi="仿宋_GB2312" w:eastAsia="仿宋_GB2312" w:cs="仿宋_GB2312"/>
          <w:b w:val="0"/>
          <w:bCs w:val="0"/>
          <w:sz w:val="32"/>
          <w:szCs w:val="32"/>
          <w:highlight w:val="none"/>
          <w:lang w:val="en-US" w:eastAsia="zh-CN"/>
        </w:rPr>
        <w:t>3次</w:t>
      </w:r>
      <w:r>
        <w:rPr>
          <w:rFonts w:hint="eastAsia" w:ascii="仿宋_GB2312" w:hAnsi="仿宋_GB2312" w:eastAsia="仿宋_GB2312" w:cs="仿宋_GB2312"/>
          <w:b w:val="0"/>
          <w:bCs w:val="0"/>
          <w:sz w:val="32"/>
          <w:szCs w:val="32"/>
        </w:rPr>
        <w:t>，每次均丈量成</w:t>
      </w:r>
      <w:r>
        <w:rPr>
          <w:rFonts w:hint="eastAsia" w:ascii="仿宋_GB2312" w:hAnsi="仿宋_GB2312" w:eastAsia="仿宋_GB2312" w:cs="仿宋_GB2312"/>
          <w:b w:val="0"/>
          <w:bCs w:val="0"/>
          <w:sz w:val="32"/>
          <w:szCs w:val="32"/>
          <w:highlight w:val="none"/>
          <w:lang w:val="en-US" w:eastAsia="zh-CN"/>
        </w:rPr>
        <w:t>绩。应以考生身体任何部位着地点距起跳线最近点的后沿至起跳线或起跳延长线的垂直距离丈量成绩。丈量的最小单位为1厘米，以3次试</w:t>
      </w:r>
      <w:r>
        <w:rPr>
          <w:rFonts w:hint="eastAsia" w:ascii="仿宋_GB2312" w:hAnsi="仿宋_GB2312" w:eastAsia="仿宋_GB2312" w:cs="仿宋_GB2312"/>
          <w:b w:val="0"/>
          <w:bCs w:val="0"/>
          <w:spacing w:val="-3"/>
          <w:sz w:val="32"/>
          <w:szCs w:val="32"/>
        </w:rPr>
        <w:t>跳中之最佳成绩为考试成绩。</w:t>
      </w:r>
    </w:p>
    <w:p w14:paraId="0BCEA8CE">
      <w:pPr>
        <w:keepNext w:val="0"/>
        <w:keepLines w:val="0"/>
        <w:pageBreakBefore w:val="0"/>
        <w:widowControl w:val="0"/>
        <w:kinsoku/>
        <w:wordWrap w:val="0"/>
        <w:overflowPunct/>
        <w:topLinePunct w:val="0"/>
        <w:bidi w:val="0"/>
        <w:spacing w:line="560" w:lineRule="exact"/>
        <w:ind w:left="0" w:right="0" w:firstLine="631" w:firstLineChars="200"/>
        <w:rPr>
          <w:rFonts w:hint="eastAsia" w:ascii="仿宋_GB2312" w:hAnsi="仿宋_GB2312" w:eastAsia="仿宋_GB2312" w:cs="仿宋_GB2312"/>
          <w:b/>
          <w:bCs/>
          <w:spacing w:val="-3"/>
          <w:sz w:val="32"/>
          <w:szCs w:val="32"/>
          <w:lang w:val="en-US" w:eastAsia="zh-CN"/>
        </w:rPr>
      </w:pPr>
      <w:r>
        <w:rPr>
          <w:rFonts w:hint="eastAsia" w:ascii="仿宋_GB2312" w:hAnsi="仿宋_GB2312" w:eastAsia="仿宋_GB2312" w:cs="仿宋_GB2312"/>
          <w:b/>
          <w:bCs/>
          <w:spacing w:val="-3"/>
          <w:sz w:val="32"/>
          <w:szCs w:val="32"/>
          <w:lang w:val="en-US" w:eastAsia="zh-CN"/>
        </w:rPr>
        <w:t>3.原地推铅球</w:t>
      </w:r>
    </w:p>
    <w:p w14:paraId="4DE3C044">
      <w:pPr>
        <w:keepNext w:val="0"/>
        <w:keepLines w:val="0"/>
        <w:pageBreakBefore w:val="0"/>
        <w:widowControl w:val="0"/>
        <w:kinsoku/>
        <w:wordWrap w:val="0"/>
        <w:overflowPunct/>
        <w:topLinePunct w:val="0"/>
        <w:bidi w:val="0"/>
        <w:spacing w:line="560" w:lineRule="exact"/>
        <w:ind w:left="0" w:right="0" w:firstLine="628"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3"/>
          <w:sz w:val="32"/>
          <w:szCs w:val="32"/>
        </w:rPr>
        <w:t>测试细则：</w:t>
      </w:r>
    </w:p>
    <w:p w14:paraId="2625A369">
      <w:pPr>
        <w:keepNext w:val="0"/>
        <w:keepLines w:val="0"/>
        <w:pageBreakBefore w:val="0"/>
        <w:widowControl w:val="0"/>
        <w:kinsoku/>
        <w:wordWrap w:val="0"/>
        <w:overflowPunct/>
        <w:topLinePunct w:val="0"/>
        <w:bidi w:val="0"/>
        <w:spacing w:line="560" w:lineRule="exact"/>
        <w:ind w:left="0" w:right="0" w:firstLine="632" w:firstLineChars="200"/>
        <w:jc w:val="left"/>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pacing w:val="-2"/>
          <w:sz w:val="32"/>
          <w:szCs w:val="32"/>
          <w:lang w:eastAsia="zh-CN"/>
        </w:rPr>
        <w:t>①</w:t>
      </w:r>
      <w:r>
        <w:rPr>
          <w:rFonts w:hint="eastAsia" w:ascii="仿宋_GB2312" w:hAnsi="仿宋_GB2312" w:eastAsia="仿宋_GB2312" w:cs="仿宋_GB2312"/>
          <w:b w:val="0"/>
          <w:bCs w:val="0"/>
          <w:spacing w:val="-2"/>
          <w:sz w:val="32"/>
          <w:szCs w:val="32"/>
        </w:rPr>
        <w:t>场地设备：场地设置按田径运动竞赛规则规定。铅球重量为男</w:t>
      </w:r>
      <w:r>
        <w:rPr>
          <w:rFonts w:hint="eastAsia" w:ascii="仿宋_GB2312" w:hAnsi="仿宋_GB2312" w:eastAsia="仿宋_GB2312" w:cs="仿宋_GB2312"/>
          <w:b w:val="0"/>
          <w:bCs w:val="0"/>
          <w:spacing w:val="-2"/>
          <w:sz w:val="32"/>
          <w:szCs w:val="32"/>
          <w:lang w:val="en-US" w:eastAsia="zh-CN"/>
        </w:rPr>
        <w:t>生</w:t>
      </w:r>
      <w:r>
        <w:rPr>
          <w:rFonts w:hint="eastAsia" w:ascii="仿宋_GB2312" w:hAnsi="仿宋_GB2312" w:eastAsia="仿宋_GB2312" w:cs="仿宋_GB2312"/>
          <w:b w:val="0"/>
          <w:bCs w:val="0"/>
          <w:spacing w:val="-2"/>
          <w:sz w:val="32"/>
          <w:szCs w:val="32"/>
        </w:rPr>
        <w:t>5</w:t>
      </w:r>
      <w:r>
        <w:rPr>
          <w:rFonts w:hint="eastAsia" w:ascii="仿宋_GB2312" w:hAnsi="仿宋_GB2312" w:eastAsia="仿宋_GB2312" w:cs="仿宋_GB2312"/>
          <w:b w:val="0"/>
          <w:bCs w:val="0"/>
          <w:spacing w:val="-2"/>
          <w:sz w:val="32"/>
          <w:szCs w:val="32"/>
          <w:lang w:eastAsia="zh-CN"/>
        </w:rPr>
        <w:t>千克</w:t>
      </w:r>
      <w:r>
        <w:rPr>
          <w:rFonts w:hint="eastAsia" w:ascii="仿宋_GB2312" w:hAnsi="仿宋_GB2312" w:eastAsia="仿宋_GB2312" w:cs="仿宋_GB2312"/>
          <w:b w:val="0"/>
          <w:bCs w:val="0"/>
          <w:spacing w:val="-2"/>
          <w:sz w:val="32"/>
          <w:szCs w:val="32"/>
        </w:rPr>
        <w:t>，女</w:t>
      </w:r>
      <w:r>
        <w:rPr>
          <w:rFonts w:hint="eastAsia" w:ascii="仿宋_GB2312" w:hAnsi="仿宋_GB2312" w:eastAsia="仿宋_GB2312" w:cs="仿宋_GB2312"/>
          <w:b w:val="0"/>
          <w:bCs w:val="0"/>
          <w:spacing w:val="-2"/>
          <w:sz w:val="32"/>
          <w:szCs w:val="32"/>
          <w:lang w:val="en-US" w:eastAsia="zh-CN"/>
        </w:rPr>
        <w:t>生4</w:t>
      </w:r>
      <w:r>
        <w:rPr>
          <w:rFonts w:hint="eastAsia" w:ascii="仿宋_GB2312" w:hAnsi="仿宋_GB2312" w:eastAsia="仿宋_GB2312" w:cs="仿宋_GB2312"/>
          <w:b w:val="0"/>
          <w:bCs w:val="0"/>
          <w:spacing w:val="-6"/>
          <w:sz w:val="32"/>
          <w:szCs w:val="32"/>
          <w:lang w:eastAsia="zh-CN"/>
        </w:rPr>
        <w:t>千克</w:t>
      </w:r>
      <w:r>
        <w:rPr>
          <w:rFonts w:hint="eastAsia" w:ascii="仿宋_GB2312" w:hAnsi="仿宋_GB2312" w:eastAsia="仿宋_GB2312" w:cs="仿宋_GB2312"/>
          <w:b w:val="0"/>
          <w:bCs w:val="0"/>
          <w:spacing w:val="-6"/>
          <w:sz w:val="32"/>
          <w:szCs w:val="32"/>
        </w:rPr>
        <w:t>。</w:t>
      </w:r>
    </w:p>
    <w:p w14:paraId="292A0042">
      <w:pPr>
        <w:keepNext w:val="0"/>
        <w:keepLines w:val="0"/>
        <w:pageBreakBefore w:val="0"/>
        <w:widowControl w:val="0"/>
        <w:kinsoku/>
        <w:wordWrap w:val="0"/>
        <w:overflowPunct/>
        <w:topLinePunct w:val="0"/>
        <w:bidi w:val="0"/>
        <w:spacing w:line="560" w:lineRule="exact"/>
        <w:ind w:left="0" w:right="0" w:firstLine="644" w:firstLineChars="200"/>
        <w:jc w:val="left"/>
        <w:rPr>
          <w:rFonts w:hint="eastAsia" w:ascii="仿宋_GB2312" w:hAnsi="仿宋_GB2312" w:eastAsia="仿宋_GB2312" w:cs="仿宋_GB2312"/>
          <w:b w:val="0"/>
          <w:bCs w:val="0"/>
          <w:spacing w:val="-2"/>
          <w:sz w:val="32"/>
          <w:szCs w:val="32"/>
        </w:rPr>
      </w:pPr>
      <w:r>
        <w:rPr>
          <w:rFonts w:hint="eastAsia" w:ascii="仿宋_GB2312" w:hAnsi="仿宋_GB2312" w:eastAsia="仿宋_GB2312" w:cs="仿宋_GB2312"/>
          <w:b w:val="0"/>
          <w:bCs w:val="0"/>
          <w:spacing w:val="1"/>
          <w:sz w:val="32"/>
          <w:szCs w:val="32"/>
          <w:lang w:eastAsia="zh-CN"/>
        </w:rPr>
        <w:t>②</w:t>
      </w:r>
      <w:r>
        <w:rPr>
          <w:rFonts w:hint="eastAsia" w:ascii="仿宋_GB2312" w:hAnsi="仿宋_GB2312" w:eastAsia="仿宋_GB2312" w:cs="仿宋_GB2312"/>
          <w:b w:val="0"/>
          <w:bCs w:val="0"/>
          <w:spacing w:val="1"/>
          <w:sz w:val="32"/>
          <w:szCs w:val="32"/>
        </w:rPr>
        <w:t>动作规格：站立在投掷圈内，考生采用原地侧向或背向均可，但不得做滑</w:t>
      </w:r>
      <w:r>
        <w:rPr>
          <w:rFonts w:hint="eastAsia" w:ascii="仿宋_GB2312" w:hAnsi="仿宋_GB2312" w:eastAsia="仿宋_GB2312" w:cs="仿宋_GB2312"/>
          <w:b w:val="0"/>
          <w:bCs w:val="0"/>
          <w:spacing w:val="-1"/>
          <w:sz w:val="32"/>
          <w:szCs w:val="32"/>
        </w:rPr>
        <w:t>步或旋转动作。推铅球时，应将铅球置于锁骨窝处，用单手由肩上推出，不得将铅球移至肩下或肩后抛掷。球推出后，脚不得踏出投掷圈或踏在抵趾板上。身体</w:t>
      </w:r>
      <w:r>
        <w:rPr>
          <w:rFonts w:hint="eastAsia" w:ascii="仿宋_GB2312" w:hAnsi="仿宋_GB2312" w:eastAsia="仿宋_GB2312" w:cs="仿宋_GB2312"/>
          <w:b w:val="0"/>
          <w:bCs w:val="0"/>
          <w:spacing w:val="-2"/>
          <w:sz w:val="32"/>
          <w:szCs w:val="32"/>
        </w:rPr>
        <w:t>各部位不得接触投掷圈前半部圈外地面。球出手后必须从投掷圈后半部退出场地。</w:t>
      </w:r>
    </w:p>
    <w:p w14:paraId="41319AE7">
      <w:pPr>
        <w:keepNext w:val="0"/>
        <w:keepLines w:val="0"/>
        <w:pageBreakBefore w:val="0"/>
        <w:widowControl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pacing w:val="-1"/>
          <w:sz w:val="32"/>
          <w:szCs w:val="32"/>
        </w:rPr>
      </w:pPr>
      <w:r>
        <w:rPr>
          <w:rFonts w:hint="eastAsia" w:ascii="仿宋_GB2312" w:hAnsi="仿宋_GB2312" w:eastAsia="仿宋_GB2312" w:cs="仿宋_GB2312"/>
          <w:b w:val="0"/>
          <w:bCs w:val="0"/>
          <w:sz w:val="32"/>
          <w:szCs w:val="32"/>
          <w:lang w:eastAsia="zh-CN"/>
        </w:rPr>
        <w:t>③</w:t>
      </w:r>
      <w:r>
        <w:rPr>
          <w:rFonts w:hint="eastAsia" w:ascii="仿宋_GB2312" w:hAnsi="仿宋_GB2312" w:eastAsia="仿宋_GB2312" w:cs="仿宋_GB2312"/>
          <w:b w:val="0"/>
          <w:bCs w:val="0"/>
          <w:sz w:val="32"/>
          <w:szCs w:val="32"/>
        </w:rPr>
        <w:t>测试方法：每人试</w:t>
      </w:r>
      <w:r>
        <w:rPr>
          <w:rFonts w:hint="eastAsia" w:ascii="仿宋_GB2312" w:hAnsi="仿宋_GB2312" w:eastAsia="仿宋_GB2312" w:cs="仿宋_GB2312"/>
          <w:b w:val="0"/>
          <w:bCs w:val="0"/>
          <w:sz w:val="32"/>
          <w:szCs w:val="32"/>
          <w:highlight w:val="none"/>
          <w:lang w:val="en-US" w:eastAsia="zh-CN"/>
        </w:rPr>
        <w:t>推3次，丈量最小单位为1厘米，以3次试</w:t>
      </w:r>
      <w:r>
        <w:rPr>
          <w:rFonts w:hint="eastAsia" w:ascii="仿宋_GB2312" w:hAnsi="仿宋_GB2312" w:eastAsia="仿宋_GB2312" w:cs="仿宋_GB2312"/>
          <w:b w:val="0"/>
          <w:bCs w:val="0"/>
          <w:spacing w:val="-1"/>
          <w:sz w:val="32"/>
          <w:szCs w:val="32"/>
        </w:rPr>
        <w:t>投中的最佳一次成绩为考试成绩。</w:t>
      </w:r>
    </w:p>
    <w:p w14:paraId="648950F9">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ascii="黑体" w:hAnsi="黑体" w:eastAsia="黑体" w:cs="黑体"/>
          <w:b w:val="0"/>
          <w:bCs w:val="0"/>
          <w:spacing w:val="4"/>
          <w:sz w:val="32"/>
          <w:szCs w:val="32"/>
        </w:rPr>
      </w:pPr>
      <w:bookmarkStart w:id="1" w:name="bookmark6"/>
      <w:bookmarkEnd w:id="1"/>
      <w:bookmarkStart w:id="2" w:name="bookmark1"/>
      <w:bookmarkEnd w:id="2"/>
      <w:r>
        <w:rPr>
          <w:rFonts w:hint="eastAsia" w:ascii="黑体" w:hAnsi="黑体" w:eastAsia="黑体" w:cs="黑体"/>
          <w:b w:val="0"/>
          <w:bCs w:val="0"/>
          <w:spacing w:val="4"/>
          <w:sz w:val="32"/>
          <w:szCs w:val="32"/>
          <w:lang w:eastAsia="zh-CN"/>
        </w:rPr>
        <w:t>五</w:t>
      </w:r>
      <w:r>
        <w:rPr>
          <w:rFonts w:ascii="黑体" w:hAnsi="黑体" w:eastAsia="黑体" w:cs="黑体"/>
          <w:b w:val="0"/>
          <w:bCs w:val="0"/>
          <w:spacing w:val="4"/>
          <w:sz w:val="32"/>
          <w:szCs w:val="32"/>
        </w:rPr>
        <w:t>、</w:t>
      </w:r>
      <w:r>
        <w:rPr>
          <w:rFonts w:hint="eastAsia" w:ascii="黑体" w:hAnsi="黑体" w:eastAsia="黑体" w:cs="黑体"/>
          <w:b w:val="0"/>
          <w:bCs w:val="0"/>
          <w:spacing w:val="4"/>
          <w:sz w:val="32"/>
          <w:szCs w:val="32"/>
          <w:lang w:eastAsia="zh-CN"/>
        </w:rPr>
        <w:t>相关</w:t>
      </w:r>
      <w:r>
        <w:rPr>
          <w:rFonts w:ascii="黑体" w:hAnsi="黑体" w:eastAsia="黑体" w:cs="黑体"/>
          <w:b w:val="0"/>
          <w:bCs w:val="0"/>
          <w:spacing w:val="4"/>
          <w:sz w:val="32"/>
          <w:szCs w:val="32"/>
        </w:rPr>
        <w:t>要求</w:t>
      </w:r>
    </w:p>
    <w:p w14:paraId="0C33F939">
      <w:pPr>
        <w:keepNext w:val="0"/>
        <w:keepLines w:val="0"/>
        <w:pageBreakBefore w:val="0"/>
        <w:widowControl w:val="0"/>
        <w:kinsoku/>
        <w:wordWrap w:val="0"/>
        <w:overflowPunct/>
        <w:topLinePunct w:val="0"/>
        <w:bidi w:val="0"/>
        <w:spacing w:line="560" w:lineRule="exact"/>
        <w:ind w:right="0" w:firstLine="656" w:firstLineChars="200"/>
        <w:jc w:val="both"/>
        <w:rPr>
          <w:rFonts w:hint="default"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（一）服装要求</w:t>
      </w:r>
    </w:p>
    <w:p w14:paraId="19D5C8B8">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考生所有项目考试期间，不得穿着体现考生信息（学校名称、个人名字等）、有明显标志及装饰的服装。</w:t>
      </w:r>
    </w:p>
    <w:p w14:paraId="7974E255">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（二）场地装备要求</w:t>
      </w:r>
    </w:p>
    <w:p w14:paraId="2EB61725">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田径</w:t>
      </w:r>
      <w:r>
        <w:rPr>
          <w:rFonts w:hint="eastAsia" w:ascii="仿宋_GB2312" w:hAnsi="仿宋_GB2312" w:eastAsia="仿宋_GB2312" w:cs="仿宋_GB2312"/>
          <w:b w:val="0"/>
          <w:bCs w:val="0"/>
          <w:sz w:val="32"/>
          <w:szCs w:val="32"/>
          <w:lang w:val="en-US" w:eastAsia="zh-CN"/>
        </w:rPr>
        <w:t>专业测试</w:t>
      </w:r>
      <w:r>
        <w:rPr>
          <w:rFonts w:hint="eastAsia" w:ascii="仿宋_GB2312" w:hAnsi="仿宋_GB2312" w:eastAsia="仿宋_GB2312" w:cs="仿宋_GB2312"/>
          <w:b w:val="0"/>
          <w:bCs w:val="0"/>
          <w:snapToGrid w:val="0"/>
          <w:color w:val="000000"/>
          <w:kern w:val="0"/>
          <w:sz w:val="32"/>
          <w:szCs w:val="32"/>
          <w:lang w:val="en-US" w:eastAsia="zh-CN" w:bidi="ar"/>
        </w:rPr>
        <w:t>使用场地为400米标准塑胶场地，相关测试装备(服装、钉鞋等）由考生自备。</w:t>
      </w:r>
    </w:p>
    <w:p w14:paraId="3032895F">
      <w:pPr>
        <w:keepNext w:val="0"/>
        <w:keepLines w:val="0"/>
        <w:pageBreakBefore w:val="0"/>
        <w:widowControl w:val="0"/>
        <w:kinsoku/>
        <w:wordWrap w:val="0"/>
        <w:overflowPunct/>
        <w:topLinePunct w:val="0"/>
        <w:bidi w:val="0"/>
        <w:spacing w:line="560" w:lineRule="exact"/>
        <w:ind w:right="0" w:firstLine="656" w:firstLineChars="200"/>
        <w:jc w:val="both"/>
        <w:rPr>
          <w:rFonts w:hint="eastAsia" w:ascii="楷体" w:hAnsi="楷体" w:eastAsia="楷体" w:cs="楷体"/>
          <w:b w:val="0"/>
          <w:bCs w:val="0"/>
          <w:spacing w:val="4"/>
          <w:sz w:val="32"/>
          <w:szCs w:val="32"/>
          <w:lang w:val="en-US" w:eastAsia="zh-CN"/>
        </w:rPr>
      </w:pPr>
      <w:r>
        <w:rPr>
          <w:rFonts w:hint="eastAsia" w:ascii="楷体" w:hAnsi="楷体" w:eastAsia="楷体" w:cs="楷体"/>
          <w:b w:val="0"/>
          <w:bCs w:val="0"/>
          <w:spacing w:val="4"/>
          <w:sz w:val="32"/>
          <w:szCs w:val="32"/>
          <w:lang w:val="en-US" w:eastAsia="zh-CN"/>
        </w:rPr>
        <w:t>（三）测试要求</w:t>
      </w:r>
    </w:p>
    <w:p w14:paraId="78576AD2">
      <w:pPr>
        <w:keepNext w:val="0"/>
        <w:keepLines w:val="0"/>
        <w:pageBreakBefore w:val="0"/>
        <w:widowControl w:val="0"/>
        <w:numPr>
          <w:ilvl w:val="0"/>
          <w:numId w:val="0"/>
        </w:numPr>
        <w:suppressLineNumbers w:val="0"/>
        <w:kinsoku/>
        <w:wordWrap w:val="0"/>
        <w:overflowPunct/>
        <w:topLinePunct w:val="0"/>
        <w:bidi w:val="0"/>
        <w:spacing w:line="560" w:lineRule="exact"/>
        <w:ind w:left="0" w:right="0" w:firstLine="640" w:firstLineChars="200"/>
        <w:jc w:val="left"/>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b w:val="0"/>
          <w:bCs w:val="0"/>
          <w:snapToGrid w:val="0"/>
          <w:color w:val="000000"/>
          <w:kern w:val="0"/>
          <w:sz w:val="32"/>
          <w:szCs w:val="32"/>
          <w:lang w:val="en-US" w:eastAsia="zh-CN" w:bidi="ar"/>
        </w:rPr>
        <w:t>考生凭本人居民身份证、准考证进入考点候考区，根据准考证上的测试时间，按规定时间提前到检录地点进行检录并参加测试。测试过程实行全程监控录像，所有测试项目和参加测试的考生均实况录像。每项测试结束后，须本人签字确认成绩方可离开。</w:t>
      </w:r>
    </w:p>
    <w:p w14:paraId="7B51AFCB">
      <w:pPr>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656" w:firstLineChars="200"/>
        <w:jc w:val="both"/>
        <w:textAlignment w:val="baseline"/>
        <w:outlineLvl w:val="9"/>
        <w:rPr>
          <w:rFonts w:hint="eastAsia" w:ascii="黑体" w:hAnsi="黑体" w:eastAsia="黑体" w:cs="黑体"/>
          <w:b w:val="0"/>
          <w:bCs w:val="0"/>
          <w:spacing w:val="4"/>
          <w:sz w:val="32"/>
          <w:szCs w:val="32"/>
          <w:lang w:eastAsia="zh-CN"/>
        </w:rPr>
      </w:pPr>
      <w:r>
        <w:rPr>
          <w:rFonts w:hint="eastAsia" w:ascii="黑体" w:hAnsi="黑体" w:eastAsia="黑体" w:cs="黑体"/>
          <w:b w:val="0"/>
          <w:bCs w:val="0"/>
          <w:spacing w:val="4"/>
          <w:sz w:val="32"/>
          <w:szCs w:val="32"/>
          <w:lang w:eastAsia="zh-CN"/>
        </w:rPr>
        <w:t>六、录取原则</w:t>
      </w:r>
    </w:p>
    <w:p w14:paraId="00BE9A4A">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right="0" w:firstLine="700" w:firstLineChars="200"/>
        <w:jc w:val="both"/>
        <w:textAlignment w:val="baseline"/>
        <w:outlineLvl w:val="9"/>
        <w:rPr>
          <w:rFonts w:hint="eastAsia" w:ascii="仿宋_GB2312" w:hAnsi="仿宋_GB2312" w:eastAsia="仿宋_GB2312" w:cs="仿宋_GB2312"/>
          <w:spacing w:val="15"/>
          <w:sz w:val="32"/>
          <w:szCs w:val="32"/>
          <w:lang w:eastAsia="zh-CN"/>
        </w:rPr>
      </w:pPr>
      <w:r>
        <w:rPr>
          <w:rFonts w:hint="eastAsia" w:ascii="仿宋_GB2312" w:hAnsi="仿宋_GB2312" w:eastAsia="仿宋_GB2312" w:cs="仿宋_GB2312"/>
          <w:spacing w:val="15"/>
          <w:sz w:val="32"/>
          <w:szCs w:val="32"/>
        </w:rPr>
        <w:t>普通高中学校招收艺体特长生</w:t>
      </w:r>
      <w:r>
        <w:rPr>
          <w:rFonts w:hint="eastAsia" w:ascii="仿宋_GB2312" w:hAnsi="仿宋_GB2312" w:eastAsia="仿宋_GB2312" w:cs="仿宋_GB2312"/>
          <w:spacing w:val="15"/>
          <w:sz w:val="32"/>
          <w:szCs w:val="32"/>
          <w:lang w:eastAsia="zh-CN"/>
        </w:rPr>
        <w:t>的录取原则由各招生学校自主确定，具体要求参见各学校招生简章。</w:t>
      </w:r>
    </w:p>
    <w:p w14:paraId="041DC0AC">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p>
    <w:p w14:paraId="6948DF15">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r>
        <w:rPr>
          <w:rFonts w:hint="eastAsia" w:ascii="仿宋_GB2312" w:hAnsi="仿宋_GB2312" w:eastAsia="仿宋_GB2312" w:cs="仿宋_GB2312"/>
          <w:spacing w:val="15"/>
          <w:sz w:val="32"/>
          <w:szCs w:val="32"/>
        </w:rPr>
        <w:t>以上说明仅适用于我</w:t>
      </w:r>
      <w:r>
        <w:rPr>
          <w:rFonts w:hint="eastAsia" w:ascii="仿宋_GB2312" w:hAnsi="仿宋_GB2312" w:eastAsia="仿宋_GB2312" w:cs="仿宋_GB2312"/>
          <w:spacing w:val="15"/>
          <w:sz w:val="32"/>
          <w:szCs w:val="32"/>
          <w:lang w:eastAsia="zh-CN"/>
        </w:rPr>
        <w:t>市</w:t>
      </w:r>
      <w:r>
        <w:rPr>
          <w:rFonts w:hint="eastAsia" w:ascii="仿宋_GB2312" w:hAnsi="仿宋_GB2312" w:eastAsia="仿宋_GB2312" w:cs="仿宋_GB2312"/>
          <w:spacing w:val="15"/>
          <w:sz w:val="32"/>
          <w:szCs w:val="32"/>
        </w:rPr>
        <w:t>202</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年普通高中学校招收艺体特长生</w:t>
      </w:r>
      <w:r>
        <w:rPr>
          <w:rFonts w:hint="eastAsia" w:ascii="仿宋_GB2312" w:hAnsi="仿宋_GB2312" w:eastAsia="仿宋_GB2312" w:cs="仿宋_GB2312"/>
          <w:spacing w:val="15"/>
          <w:sz w:val="32"/>
          <w:szCs w:val="32"/>
          <w:lang w:eastAsia="zh-CN"/>
        </w:rPr>
        <w:t>体育</w:t>
      </w:r>
      <w:r>
        <w:rPr>
          <w:rFonts w:hint="eastAsia" w:ascii="仿宋_GB2312" w:hAnsi="仿宋_GB2312" w:eastAsia="仿宋_GB2312" w:cs="仿宋_GB2312"/>
          <w:spacing w:val="15"/>
          <w:sz w:val="32"/>
          <w:szCs w:val="32"/>
        </w:rPr>
        <w:t>类</w:t>
      </w:r>
      <w:r>
        <w:rPr>
          <w:rFonts w:hint="eastAsia" w:ascii="仿宋_GB2312" w:hAnsi="仿宋_GB2312" w:eastAsia="仿宋_GB2312" w:cs="仿宋_GB2312"/>
          <w:spacing w:val="15"/>
          <w:sz w:val="32"/>
          <w:szCs w:val="32"/>
          <w:lang w:eastAsia="zh-CN"/>
        </w:rPr>
        <w:t>田径</w:t>
      </w:r>
      <w:r>
        <w:rPr>
          <w:rFonts w:hint="eastAsia" w:ascii="仿宋_GB2312" w:hAnsi="仿宋_GB2312" w:eastAsia="仿宋_GB2312" w:cs="仿宋_GB2312"/>
          <w:spacing w:val="15"/>
          <w:sz w:val="32"/>
          <w:szCs w:val="32"/>
        </w:rPr>
        <w:t>专业统一考试。</w:t>
      </w:r>
    </w:p>
    <w:p w14:paraId="49CBBA8D">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both"/>
        <w:textAlignment w:val="baseline"/>
        <w:outlineLvl w:val="9"/>
        <w:rPr>
          <w:rFonts w:hint="eastAsia" w:ascii="仿宋_GB2312" w:hAnsi="仿宋_GB2312" w:eastAsia="仿宋_GB2312" w:cs="仿宋_GB2312"/>
          <w:spacing w:val="15"/>
          <w:sz w:val="32"/>
          <w:szCs w:val="32"/>
        </w:rPr>
      </w:pPr>
    </w:p>
    <w:p w14:paraId="31D3E1B6">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right"/>
        <w:textAlignment w:val="baseline"/>
        <w:outlineLvl w:val="9"/>
        <w:rPr>
          <w:rFonts w:hint="default" w:ascii="仿宋_GB2312" w:hAnsi="仿宋_GB2312" w:eastAsia="仿宋_GB2312" w:cs="仿宋_GB2312"/>
          <w:spacing w:val="15"/>
          <w:sz w:val="32"/>
          <w:szCs w:val="32"/>
          <w:lang w:val="en-US" w:eastAsia="zh-CN"/>
        </w:rPr>
      </w:pPr>
      <w:r>
        <w:rPr>
          <w:rFonts w:hint="eastAsia" w:ascii="仿宋_GB2312" w:hAnsi="仿宋_GB2312" w:eastAsia="仿宋_GB2312" w:cs="仿宋_GB2312"/>
          <w:spacing w:val="15"/>
          <w:sz w:val="32"/>
          <w:szCs w:val="32"/>
          <w:lang w:eastAsia="zh-CN"/>
        </w:rPr>
        <w:t>济南市</w:t>
      </w:r>
      <w:r>
        <w:rPr>
          <w:rFonts w:hint="eastAsia" w:ascii="仿宋_GB2312" w:hAnsi="仿宋_GB2312" w:eastAsia="仿宋_GB2312" w:cs="仿宋_GB2312"/>
          <w:spacing w:val="15"/>
          <w:sz w:val="32"/>
          <w:szCs w:val="32"/>
        </w:rPr>
        <w:t>教育招生考试院</w:t>
      </w:r>
      <w:r>
        <w:rPr>
          <w:rFonts w:hint="eastAsia" w:ascii="仿宋_GB2312" w:hAnsi="仿宋_GB2312" w:eastAsia="仿宋_GB2312" w:cs="仿宋_GB2312"/>
          <w:spacing w:val="15"/>
          <w:sz w:val="32"/>
          <w:szCs w:val="32"/>
          <w:lang w:val="en-US" w:eastAsia="zh-CN"/>
        </w:rPr>
        <w:t xml:space="preserve">  </w:t>
      </w:r>
    </w:p>
    <w:p w14:paraId="350679BE">
      <w:pPr>
        <w:pStyle w:val="9"/>
        <w:keepNext w:val="0"/>
        <w:keepLines w:val="0"/>
        <w:pageBreakBefore w:val="0"/>
        <w:widowControl w:val="0"/>
        <w:kinsoku/>
        <w:wordWrap w:val="0"/>
        <w:overflowPunct/>
        <w:topLinePunct w:val="0"/>
        <w:autoSpaceDE w:val="0"/>
        <w:autoSpaceDN w:val="0"/>
        <w:bidi w:val="0"/>
        <w:adjustRightInd w:val="0"/>
        <w:snapToGrid w:val="0"/>
        <w:spacing w:line="560" w:lineRule="exact"/>
        <w:ind w:left="0" w:right="0" w:firstLine="700" w:firstLineChars="200"/>
        <w:jc w:val="right"/>
        <w:textAlignment w:val="baseline"/>
        <w:outlineLvl w:val="9"/>
        <w:rPr>
          <w:rFonts w:hint="eastAsia" w:ascii="仿宋_GB2312" w:hAnsi="仿宋_GB2312" w:eastAsia="仿宋_GB2312" w:cs="仿宋_GB2312"/>
          <w:b w:val="0"/>
          <w:bCs w:val="0"/>
          <w:snapToGrid w:val="0"/>
          <w:color w:val="000000"/>
          <w:kern w:val="0"/>
          <w:sz w:val="32"/>
          <w:szCs w:val="32"/>
          <w:lang w:val="en-US" w:eastAsia="zh-CN" w:bidi="ar"/>
        </w:rPr>
      </w:pPr>
      <w:r>
        <w:rPr>
          <w:rFonts w:hint="eastAsia" w:ascii="仿宋_GB2312" w:hAnsi="仿宋_GB2312" w:eastAsia="仿宋_GB2312" w:cs="仿宋_GB2312"/>
          <w:spacing w:val="15"/>
          <w:sz w:val="32"/>
          <w:szCs w:val="32"/>
        </w:rPr>
        <w:t>202</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年</w:t>
      </w:r>
      <w:r>
        <w:rPr>
          <w:rFonts w:hint="eastAsia" w:ascii="仿宋_GB2312" w:hAnsi="仿宋_GB2312" w:eastAsia="仿宋_GB2312" w:cs="仿宋_GB2312"/>
          <w:spacing w:val="15"/>
          <w:sz w:val="32"/>
          <w:szCs w:val="32"/>
          <w:lang w:val="en-US" w:eastAsia="zh-CN"/>
        </w:rPr>
        <w:t>5</w:t>
      </w:r>
      <w:r>
        <w:rPr>
          <w:rFonts w:hint="eastAsia" w:ascii="仿宋_GB2312" w:hAnsi="仿宋_GB2312" w:eastAsia="仿宋_GB2312" w:cs="仿宋_GB2312"/>
          <w:spacing w:val="15"/>
          <w:sz w:val="32"/>
          <w:szCs w:val="32"/>
        </w:rPr>
        <w:t>月</w:t>
      </w:r>
      <w:bookmarkStart w:id="3" w:name="_GoBack"/>
      <w:bookmarkEnd w:id="3"/>
      <w:r>
        <w:rPr>
          <w:rFonts w:hint="eastAsia" w:ascii="仿宋_GB2312" w:hAnsi="仿宋_GB2312" w:eastAsia="仿宋_GB2312" w:cs="仿宋_GB2312"/>
          <w:spacing w:val="15"/>
          <w:sz w:val="32"/>
          <w:szCs w:val="32"/>
          <w:lang w:val="en-US" w:eastAsia="zh-CN"/>
        </w:rPr>
        <w:t xml:space="preserve">     </w:t>
      </w:r>
    </w:p>
    <w:p w14:paraId="1E12C170">
      <w:pPr>
        <w:keepNext w:val="0"/>
        <w:keepLines w:val="0"/>
        <w:pageBreakBefore w:val="0"/>
        <w:widowControl w:val="0"/>
        <w:kinsoku/>
        <w:wordWrap w:val="0"/>
        <w:overflowPunct/>
        <w:topLinePunct w:val="0"/>
        <w:bidi w:val="0"/>
      </w:pPr>
    </w:p>
    <w:sectPr>
      <w:pgSz w:w="11906" w:h="16838"/>
      <w:pgMar w:top="1587" w:right="1474" w:bottom="1474" w:left="1474" w:header="851" w:footer="992" w:gutter="0"/>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43104C-DD40-4198-9B82-D45F38A214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embedRegular r:id="rId2" w:fontKey="{6C1EBC45-5C7D-439C-B69E-B7781A9C5D75}"/>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F30B8E42-ADB1-4F7C-916E-32C394F6D49E}"/>
  </w:font>
  <w:font w:name="仿宋_GB2312">
    <w:panose1 w:val="02010609030101010101"/>
    <w:charset w:val="86"/>
    <w:family w:val="auto"/>
    <w:pitch w:val="default"/>
    <w:sig w:usb0="00000001" w:usb1="080E0000" w:usb2="00000000" w:usb3="00000000" w:csb0="00040000" w:csb1="00000000"/>
    <w:embedRegular r:id="rId4" w:fontKey="{CF3482FA-E175-4A43-A09A-8A930063410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kYzJlMjM5YjNjYjg4MmQ4MTJjZWYwNzYyZWQwMDgifQ=="/>
  </w:docVars>
  <w:rsids>
    <w:rsidRoot w:val="2B8A1578"/>
    <w:rsid w:val="05DE6B52"/>
    <w:rsid w:val="0EB40E1C"/>
    <w:rsid w:val="14EB6246"/>
    <w:rsid w:val="15E601CF"/>
    <w:rsid w:val="192B530D"/>
    <w:rsid w:val="1F9C76EA"/>
    <w:rsid w:val="2B8A1578"/>
    <w:rsid w:val="2C6721E1"/>
    <w:rsid w:val="2F9573A1"/>
    <w:rsid w:val="32F93DAF"/>
    <w:rsid w:val="36BD1EDC"/>
    <w:rsid w:val="37427AD3"/>
    <w:rsid w:val="3AC005A2"/>
    <w:rsid w:val="41810E86"/>
    <w:rsid w:val="4DCE5936"/>
    <w:rsid w:val="5D277664"/>
    <w:rsid w:val="5E277E3F"/>
    <w:rsid w:val="60EA53FD"/>
    <w:rsid w:val="618741B1"/>
    <w:rsid w:val="619F6C92"/>
    <w:rsid w:val="64976216"/>
    <w:rsid w:val="64983C98"/>
    <w:rsid w:val="658A426F"/>
    <w:rsid w:val="67E43A13"/>
    <w:rsid w:val="6C48332E"/>
    <w:rsid w:val="6DAC14DD"/>
    <w:rsid w:val="741F6CA0"/>
    <w:rsid w:val="77BB3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0"/>
    <w:pPr>
      <w:keepNext w:val="0"/>
      <w:keepLines w:val="0"/>
      <w:spacing w:beforeLines="0" w:beforeAutospacing="0" w:afterLines="0" w:afterAutospacing="0" w:line="560" w:lineRule="exact"/>
      <w:ind w:firstLine="0" w:firstLineChars="0"/>
      <w:jc w:val="center"/>
      <w:outlineLvl w:val="0"/>
    </w:pPr>
    <w:rPr>
      <w:rFonts w:eastAsia="华文中宋"/>
      <w:kern w:val="44"/>
      <w:sz w:val="44"/>
    </w:rPr>
  </w:style>
  <w:style w:type="paragraph" w:styleId="6">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7">
    <w:name w:val="heading 3"/>
    <w:basedOn w:val="1"/>
    <w:next w:val="1"/>
    <w:semiHidden/>
    <w:unhideWhenUsed/>
    <w:qFormat/>
    <w:uiPriority w:val="0"/>
    <w:pPr>
      <w:keepNext w:val="0"/>
      <w:keepLines w:val="0"/>
      <w:spacing w:beforeLines="0" w:beforeAutospacing="0" w:afterLines="0" w:afterAutospacing="0" w:line="560" w:lineRule="exact"/>
      <w:outlineLvl w:val="2"/>
    </w:pPr>
    <w:rPr>
      <w:rFonts w:eastAsia="楷体"/>
    </w:rPr>
  </w:style>
  <w:style w:type="paragraph" w:styleId="8">
    <w:name w:val="heading 4"/>
    <w:basedOn w:val="1"/>
    <w:next w:val="1"/>
    <w:semiHidden/>
    <w:unhideWhenUsed/>
    <w:qFormat/>
    <w:uiPriority w:val="0"/>
    <w:pPr>
      <w:keepNext w:val="0"/>
      <w:keepLines w:val="0"/>
      <w:spacing w:beforeLines="0" w:beforeAutospacing="0" w:afterLines="0" w:afterAutospacing="0" w:line="640" w:lineRule="exact"/>
      <w:jc w:val="center"/>
      <w:outlineLvl w:val="0"/>
    </w:pPr>
    <w:rPr>
      <w:rFonts w:ascii="Arial" w:hAnsi="Arial" w:eastAsia="华文中宋"/>
      <w:b/>
      <w:sz w:val="4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widowControl w:val="0"/>
      <w:spacing w:after="120"/>
      <w:ind w:left="420" w:leftChars="200" w:firstLine="420" w:firstLineChars="200"/>
      <w:jc w:val="both"/>
    </w:pPr>
    <w:rPr>
      <w:rFonts w:ascii="Calibri" w:hAnsi="Calibri" w:eastAsia="宋体" w:cs="Calibri"/>
      <w:kern w:val="2"/>
      <w:sz w:val="21"/>
      <w:szCs w:val="21"/>
      <w:lang w:val="en-US" w:eastAsia="zh-CN" w:bidi="ar-SA"/>
    </w:rPr>
  </w:style>
  <w:style w:type="paragraph" w:styleId="3">
    <w:name w:val="Body Text Indent"/>
    <w:basedOn w:val="1"/>
    <w:next w:val="4"/>
    <w:semiHidden/>
    <w:qFormat/>
    <w:uiPriority w:val="99"/>
    <w:pPr>
      <w:spacing w:after="120"/>
      <w:ind w:left="420" w:leftChars="200"/>
    </w:pPr>
  </w:style>
  <w:style w:type="paragraph" w:styleId="4">
    <w:name w:val="Normal Indent"/>
    <w:basedOn w:val="1"/>
    <w:qFormat/>
    <w:uiPriority w:val="99"/>
    <w:pPr>
      <w:ind w:firstLine="420"/>
    </w:pPr>
  </w:style>
  <w:style w:type="paragraph" w:styleId="9">
    <w:name w:val="Body Text"/>
    <w:basedOn w:val="1"/>
    <w:semiHidden/>
    <w:qFormat/>
    <w:uiPriority w:val="0"/>
    <w:rPr>
      <w:rFonts w:ascii="仿宋" w:hAnsi="仿宋" w:eastAsia="仿宋" w:cs="仿宋"/>
      <w:sz w:val="31"/>
      <w:szCs w:val="31"/>
      <w:lang w:val="en-US" w:eastAsia="en-US" w:bidi="ar-SA"/>
    </w:rPr>
  </w:style>
  <w:style w:type="character" w:styleId="12">
    <w:name w:val="Hyperlink"/>
    <w:basedOn w:val="11"/>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中铁12局</Company>
  <Pages>4</Pages>
  <Words>1679</Words>
  <Characters>1798</Characters>
  <Lines>0</Lines>
  <Paragraphs>0</Paragraphs>
  <TotalTime>15</TotalTime>
  <ScaleCrop>false</ScaleCrop>
  <LinksUpToDate>false</LinksUpToDate>
  <CharactersWithSpaces>1805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2025-03-19T10:04:00Z</dcterms:created>
  <dc:creator>战泽航</dc:creator>
  <cp:lastModifiedBy>王堃</cp:lastModifiedBy>
  <dcterms:modified xsi:type="dcterms:W3CDTF">2025-05-30T09:04:53Z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10E00596DFFC406FAB4023D835A90946_13</vt:lpwstr>
  </property>
  <property fmtid="{D5CDD505-2E9C-101B-9397-08002B2CF9AE}" pid="4" name="KSOTemplateDocerSaveRecord">
    <vt:lpwstr>eyJoZGlkIjoiYzQyYmUwMDlhMzYzZGU4OWFiMWU0MWU1ODQ0ZTllY2MiLCJ1c2VySWQiOiI0MjA2NTI5ODIifQ==</vt:lpwstr>
  </property>
</Properties>
</file>